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Министру юстиции</w:t>
        <w:br w:type="textWrapping"/>
        <w:t xml:space="preserve">Российской Федерации</w:t>
        <w:br w:type="textWrapping"/>
        <w:t xml:space="preserve">Чуйченко К.А.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представителей некоммерческих организаций</w:t>
        <w:br w:type="textWrapping"/>
        <w:t xml:space="preserve">(список подписантов прилагается)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КОЛЛЕКТИВНОЕ ОБРАЩЕНИЕ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системных проблемах формы отчёта НКО за 2025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Уважаемый Константин Анатольевич,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— руководители и бухгалтеры некоммерческих организаций, прошедших сдачу отчёта за 2025 год на портале Минюста России, — обращаемся к Вам с изложением системных проблем, с которыми столкнулись десятки организаций в ходе отчётной кампании (срок сдачи — 15 апреля 2026 года).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сдали отчётность и не уклоняемся от исполнения закона. Цель настоящего обращения — не жалоба, а профессиональный диалог: совместное совершенствование инструментов, которые служат и государству, и гражданскому обществу.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Ниже изложены четыре группы проблем с конкретными примерами. В заключении — наши предложения по устранению.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Технические неисправности портала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Порядка десяти технических сбоев воспроизводились массово и не зависели от индивидуальных настроек организаций.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Требование нестандартного оборудования.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полностью открывается лишь на мониторе от 70 см. На стандартных ноутбуках приходится подключать внешний дисплей или уменьшать масштаб до 50%, что делает текст нечитаемым.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Падение портала в период сдачи.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23:30 14 апреля до 10:00 15 апреля (день дедлайна) портал был недоступен: массовые ошибки 502 Bad Gateway, технические работы проводились в рабочее время без предварительного уведомления.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течении последней недели перед крайним сроком сдачи отчета сайт периодически закрывался на технические работы в дневное рабочее время.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Недоступность крайних колонок таблиц.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Полоса горизонтальной прокрутки периодически исчезает — попасть в крайнюю колонку таблицы физически невозможно.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Неработающий поиск в выпадающих списках.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Поле поиска внутри списков не функционирует. Синяя строка ввода не очевидна — пользователи пытаются писать в белое поле, откуда их выбрасывает. Ранее выбранные значения (например, «Российская Федерация», «RUB») не поднимаются в начало при повторном выборе.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«Зависание» кнопки «Сохранить черновик».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ряда организаций кнопка намертво зависала на несколько часов. Перезагрузка страницы, смена браузера, очистка кэша не помогали.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Потеря данных при сохранении.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 из черновика иногда не сохраняются: через 10 минут после заполнения видны прежние значения. После нажа</w:t>
      </w:r>
      <w:r w:rsidDel="00000000" w:rsidR="00000000" w:rsidRPr="00000000">
        <w:rPr>
          <w:rtl w:val="0"/>
        </w:rPr>
        <w:t xml:space="preserve">тия кнопки “сохранить черновик”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система выкидывает из отчёта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И чтобы вернуться на место сохранения,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приходится листать с начала все 25-30 </w:t>
      </w:r>
      <w:r w:rsidDel="00000000" w:rsidR="00000000" w:rsidRPr="00000000">
        <w:rPr>
          <w:rtl w:val="0"/>
        </w:rPr>
        <w:t xml:space="preserve">страниц.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Непредсказуемое поведение PDF.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Часть организаций столкнулась с «точкой невозврата»: после генерации PDF форма блокировала редактирование. Стихийно найденный способ разблокировки (распечатать PDF) официального объяснения не имеет.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Исчезновение принятого отчёта из публичного реестра.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Принятый отчёт переходит в раздел «Архив» личного кабинета, однако в публичном реестре у части организаций не отображается. Отчёты, сданные в марте, видны; часть апрельских — нет.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Кнопка «Далее» без фиксированного положения.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Кнопка перехода расположена в разных местах на каждой странице, что вынуждает каждый раз прокручивать весь экран. Нумерация ст</w:t>
      </w:r>
      <w:r w:rsidDel="00000000" w:rsidR="00000000" w:rsidRPr="00000000">
        <w:rPr>
          <w:rtl w:val="0"/>
        </w:rPr>
        <w:t xml:space="preserve">раниц внизу экрана была бы очень уместна в данном случае.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II. Методологические противоречия в содержании формы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Ряд требований формы вступает в прямое противоречие с действующей методологией бухгалтерского учёта или объективно невыполним.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Ретроактивная разбивка расходов по видам деятельности.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Требование введено после окончания 2025 года. Ни одна организация не вела учёт в данной разбивке в течение года — перестроить закрытый период бухгалтерски невозможно. Форма отчёта на следующий год должна быть опубликована до 1 января отчётного года.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Конфликт с формой ОЦИС (</w:t>
      </w:r>
      <w:r w:rsidDel="00000000" w:rsidR="00000000" w:rsidRPr="00000000">
        <w:rPr>
          <w:b w:val="1"/>
          <w:bCs w:val="1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тчет о целе</w:t>
      </w:r>
      <w:r w:rsidDel="00000000" w:rsidR="00000000" w:rsidRPr="00000000">
        <w:rPr>
          <w:b w:val="1"/>
          <w:bCs w:val="1"/>
          <w:rtl w:val="0"/>
        </w:rPr>
        <w:t xml:space="preserve">вом использовании средств)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7.1. должен повторять бухгалтерскую отчётность, однако ОЦИС отражает финансовый результат </w:t>
      </w:r>
      <w:r w:rsidDel="00000000" w:rsidR="00000000" w:rsidRPr="00000000">
        <w:rPr>
          <w:rtl w:val="0"/>
        </w:rPr>
        <w:t xml:space="preserve">по предпринимательской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тогда как Минюст требует раздельного указания доходов и расходов. </w:t>
      </w:r>
      <w:r w:rsidDel="00000000" w:rsidR="00000000" w:rsidRPr="00000000">
        <w:rPr>
          <w:rtl w:val="0"/>
        </w:rPr>
        <w:t xml:space="preserve"> И выходит, что данная форма составляется на основании двух отчетов Отчета о целевом использовании средств и Отчета о финансовых результатах. При этом, в строке 6.2.3.2 требуется указать сумму займов, которая тоже участвует в расчете общей суммы доходов. Что является ошибкой. Суммы займов в бухгалтерской отчетности мы показываем в отчете о движении денежных средств, который в отличие от ОЦИС и отчета о финансовых результатах заполняется не методом начисления, а кассовым методом. Включив сюда займы, мы получаем некорректную сумму доходов. Займы уже указаны в разделе 4.9-4.11 как сведения о кредиторской и дебиторской задолженности. И так как мы не включаем в раздел 6 сведения о задолженности, по той же логике не должны включать туда и займы.</w:t>
        <w:br w:type="textWrapping"/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Ошибочная формула строки 6.2.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«Убыток от предпринимательской деятельности» вычитается из доходов, вследствие чего строка 6.2 оказывается меньше строки 6200 ОЦИС. Это противоречит стандартной логике бухгалтерской отчётности.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Отсутствие методических разъяснений по разделу 7.2.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 статьи «текущие расходы» официально нигде не раскрыт. Единственные пояснения подготовлены «Форумом доноров» — организацией без официального статуса; в этих материалах встречаются противоречия. Тут </w:t>
      </w:r>
      <w:r w:rsidDel="00000000" w:rsidR="00000000" w:rsidRPr="00000000">
        <w:rPr>
          <w:rtl w:val="0"/>
        </w:rPr>
        <w:t xml:space="preserve">сложность в том, что перечень расходов ведется согласно требований руководства к раскрытию отчетности, и заранее никто не знал, что через год градация расходов должна быть именно такой как требует отчет. Организация могла не разделять, например, информационные и консалтинговые услуги, либо учитывать на одной статье расходов ГСМ и запчасти.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Расхождение методики среднесписочной численности с Росстатом.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расчёта в форме отличается от формы 1-Т Росстата, что вынуждает организации получать две разные цифры за один и тот же период.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Невыполнимые требования по ящикам для пожертвований.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Единицы измерения в форме не указаны; требуется раскладка расходов по каждому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ящику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отдельно, что организационно невыполнимо.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Неопределённость по депозитным счетам (пп. 4.6–4.8).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не разъясняет: указывать ли закрытые на 31.12 счета с оборотами в течение года; где найти процентную ставку по закрытому депозиту; как вносить данные при наличии десятков депозитных счетов в одном банке.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Зависимость отчёта от корректности профиля.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несоответствии отчёта профилю ошибка выдаётся в отчёте, а не в профиле. Бухгалтер обязан отражать факты по существу — требование подстраивать отчёт под профиль противоречит основному принципу бухгалтерского учёта.  </w:t>
      </w:r>
      <w:r w:rsidDel="00000000" w:rsidR="00000000" w:rsidRPr="00000000">
        <w:rPr>
          <w:rtl w:val="0"/>
        </w:rPr>
        <w:t xml:space="preserve">Например, организация вела деятельность, которую планирует зарегистрировать в Уставе. Но по логике отчета, нужно сначала предоставить Устав. Т.е. Внести в отчет данные по этой деятельности до регистрации Устава невозможно. И выходит, что нужно вносить в отчет ложные данные, либо вообще их не вносить.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Смешение источников пожертвований через платёжные платформы.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использовании агрегаторов (например, Миксплат) деньги приходят от двух юридических лиц (ООО и БФ), тогда как реальные жертвователи — физические лица. Форма не предусматривает такой структуры.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Требование ИНН покупателей при ведении интернет-магазина.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 один интернет-магазин не собирает ИНН покупателей — физических лиц. Сбор таких данных без специального уведомления означал бы нарушение 152-ФЗ.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Невозможность указать дату возникновения переходящей задолженности.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Задолженность может быть переходящей из года в год. Указать единую «дату возникновения» такого остатка принципиально невозможно.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Проблема фондов анонимных сообществ.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Фонды АА и аналогичных сообществ по своим основополагающим принципам не вправе раскрывать ФИО участников. Требование формы вступает в прямое противоречие с правовой природой таких организаций.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Невозможность установить резидентство жертвователя через СБП.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Зафиксирован случай отклонения отчёта по причине перевода через СБП от иностранного гражданина — при том что НКО технически не может установить резидентство плательщика. Банки этими данными располагают и передают их в Росфинмониторинг, однако самой организации не сообщают. Предлагаем обязать банки уведомлять клиентов о резидентстве жертвователей</w:t>
      </w:r>
      <w:r w:rsidDel="00000000" w:rsidR="00000000" w:rsidRPr="00000000">
        <w:rPr>
          <w:rtl w:val="0"/>
        </w:rPr>
        <w:t xml:space="preserve"> в рамках валютного контроля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23. Пункт отчета 7.1.3 требует указать сколько денег было потрачено на программу из пожертвований и из доходов от предпринимательской деятельности. Но согласно законодательства все НКО обязаны финансовый результат от предпринимательской деятельности, по итогам года, относить на целевые средства. И каждый год, имея их в общем остатке целевых средств, организация не имеет возможности учитывать отдельно расходы из нераспределенной прибыли, так как нераспределенная прибыль отнесена, по итогам года, на целевые средства. Сумма прибыли отнесенная в отчетном году на целевые средства указана в строке 6.2.2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24. Раздел 7.1.2 Вид предпринимательской деятельности можно выбрать только если он есть в уставе, но если организация начала новую деятельность и пока не внесла изменения в устав, то внести данные по этой деятельности она не может. И даже выбрав вид деятельности, к одному виду предпринимательской деятельности можно выбрать только один вид расхода. Тогда как в форме Отчета о финансовых результатах бухгалтерской отчетности, видов расходов несколько. По логике отчета, нужно объединить все расходы, чтоб они оказались в одной строке, но судя по вариантам наименований строк, предложенных формой отчета, разбивка наоборот должна быть более подробной, чем в бухгалтерской отчетности. Невозможно к одному виду деятельности отнести только один из предложенных видов расходов.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Риски в области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Публикация паспортных данных.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PDF из личного кабинета содержит паспортные данные учредителей и членов органов управления. Закон требует публиковать отчёт на сайте организации, однако публикация файла из ЛК (а не из публичного реестра, где данные скрыты) влечёт нарушение 152-ФЗ и ответственность перед Роскомнадзором. Явных инструкций о том, какой файл публиковать, нет.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Раскрытие ФИО всех сотрудников.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публичной версии отчёта отображаются полные имена всех работников, а не только органов управления. Это новое требование несёт прямые риски: угрозы личной безопасности, использование данных мошенниками, раскрытие места работы лиц, скрывающих его по личным обстоятельствам.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IV. Организационные проблемы и коммуникация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 Ретроактивное введение формы.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утверждена в конце 2025 года при сроке сдачи 15 апреля 2026 года. Корректное заполнение требовало настройки учётных программ до 1 января 2025 года. Просим закрепить правило: форма отчёта публикуется не позднее 30 ноября года, предшествующего отчётному. Также </w:t>
      </w:r>
      <w:r w:rsidDel="00000000" w:rsidR="00000000" w:rsidRPr="00000000">
        <w:rPr>
          <w:rtl w:val="0"/>
        </w:rPr>
        <w:t xml:space="preserve">все материалы и методические рекомендации по подготовке отчета необходимо давать до начала отчетного года, а не по его окончании.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 Отсутствие официальных методических указаний.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Пояснения подготовлены «Форумом доноров» без официального статуса; региональные семинары проводились выборочно, только офлайн и в рабочее время. Видеоинструкции на официальном сайте Минюста не открываются.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 Неинформативные уведомления об отклонении.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Типовой комментарий «Отчёт заполнен не в полном объёме» не содержит указания на конкретное поле — организации вынуждены вручную сверять PDF с приказом Минюста.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 Несовместимость электронных подписей.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ЭЦП ряда банков не работает с Госуслугами. Совместимы лишь отдельные носители, получить которые можно только в части территориальных ИФНС. Несколько руководителей НКО были вынуждены выпускать новую подпись в день дедлайна.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31. Отсутствие автоматического расчёта итоговых строк.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Строка 6.2 «Всего поступило средств» и остаток целевых средств не рассчитываются автоматически, что нарушает базовую логику формы как инструмента самопроверки.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32. Невозможно настроить подписание отчетности по МЧД (Машиночитаемой доверенности). Очень сложный алгоритм настройки, требующий специальных навыков. Необходимо максимально упростить способ использования МЧД.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Наши предложения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не ограничиваемся перечислением проблем и готовы к конструктивной совместной работе.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Технический регламент интерфейса: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адаптировать форму для стандартных экранов; зафиксировать элементы навигации; добавить постоянные пояснения у каждой строки; ввести автосуммирование и автовывод остатков; пронумеровать страницы; указывать конкретное поле при отклонении; запретить технические работы в период кампании; предзаполнять реквизиты по ИНН из ЕГРЮЛ.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Методическое обеспечение: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опубликовать официальные методические указания с примерами для фондов, АНО и общественных организаций; согласовать единую позицию по ОЦИС, депозитам, ящикам пожертвований, разделу 7.2 и среднесписочной численности.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Защита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дать явную инструкцию публиковать ссылку на публичный реестр (не PDF из ЛК); исключить ФИО рядовых сотрудников из публичной части отчёта.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Организационные меры: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установить срок публикации формы — не позднее 30 ноября предшествующего года; проводить обязательные онлайн-семинары с участием официальных представителей Минюста; расширить совместимость с ЭЦП банков.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Формат взаимодействия: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готовы безвозмездно участвовать в рабочей группе — сформировать техническое задание, обсудить методологические позиции, протестировать обновлённую форму до её утверждения.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Просьба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Вас: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8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Рассмотреть настоящее обращение и дать официальный ответ по существу каждой из групп проблем.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8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Организовать рабочую встречу (круглый стол) представителей Минюста с профессиональным сообществом НКО для совместной доработки формы отчёта.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8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Поручить профильному департаменту опубликовать официальные методические указания по форме отчёта за 2025 год.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Контактное лицо для организации встречи и направления ответа: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[ФИО координатора, должность, организация]</w:t>
        <w:br w:type="textWrapping"/>
        <w:t xml:space="preserve">Электронная почта: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обращение подписано представителями следующих организаций (список прилагается).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Апрель 2026 года</w:t>
      </w:r>
    </w:p>
    <w:sectPr>
      <w:headerReference r:id="rId7" w:type="default"/>
      <w:footerReference r:id="rId8" w:type="default"/>
      <w:pgSz w:h="16840" w:w="1190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vkQ5cE+HjYrq4nq/YVCWgoS+g==">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